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F" w:rsidRDefault="000841F4" w:rsidP="003721A1">
      <w:r>
        <w:rPr>
          <w:noProof/>
        </w:rPr>
        <w:t xml:space="preserve"> 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63A3F" w:rsidTr="003E6DF7">
        <w:trPr>
          <w:cantSplit/>
          <w:jc w:val="center"/>
        </w:trPr>
        <w:tc>
          <w:tcPr>
            <w:tcW w:w="9570" w:type="dxa"/>
            <w:vAlign w:val="center"/>
          </w:tcPr>
          <w:p w:rsidR="00963A3F" w:rsidRPr="003B264F" w:rsidRDefault="00963A3F" w:rsidP="003E6DF7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640CE160" wp14:editId="5D2F145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3F" w:rsidRPr="00163F7D" w:rsidTr="003E6DF7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963A3F" w:rsidRPr="00886094" w:rsidRDefault="00963A3F" w:rsidP="003E6DF7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722B253D" wp14:editId="7C408FBD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3F" w:rsidTr="003E6DF7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963A3F" w:rsidRPr="00886094" w:rsidRDefault="00963A3F" w:rsidP="00963A3F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Pr="00613B14">
              <w:rPr>
                <w:rFonts w:ascii="PT Sans" w:hAnsi="PT Sans"/>
                <w:b/>
                <w:sz w:val="32"/>
                <w:szCs w:val="32"/>
              </w:rPr>
              <w:t>880.1</w:t>
            </w:r>
            <w:r>
              <w:rPr>
                <w:rFonts w:ascii="PT Sans" w:hAnsi="PT Sans"/>
                <w:b/>
                <w:sz w:val="32"/>
                <w:szCs w:val="32"/>
              </w:rPr>
              <w:t>7</w:t>
            </w:r>
            <w:r w:rsidRPr="00613B14">
              <w:rPr>
                <w:rFonts w:ascii="PT Sans" w:hAnsi="PT Sans"/>
                <w:b/>
                <w:sz w:val="32"/>
                <w:szCs w:val="32"/>
              </w:rPr>
              <w:t>.00</w:t>
            </w:r>
            <w:r>
              <w:rPr>
                <w:rFonts w:ascii="PT Sans" w:hAnsi="PT Sans"/>
                <w:b/>
                <w:sz w:val="32"/>
                <w:szCs w:val="32"/>
              </w:rPr>
              <w:t>117-118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-ПВП</w:t>
            </w:r>
          </w:p>
        </w:tc>
      </w:tr>
      <w:tr w:rsidR="00963A3F" w:rsidRPr="0095638F" w:rsidTr="003E6DF7">
        <w:trPr>
          <w:cantSplit/>
          <w:jc w:val="center"/>
        </w:trPr>
        <w:tc>
          <w:tcPr>
            <w:tcW w:w="9570" w:type="dxa"/>
            <w:vAlign w:val="bottom"/>
          </w:tcPr>
          <w:p w:rsidR="00963A3F" w:rsidRPr="0095638F" w:rsidRDefault="00963A3F" w:rsidP="003E6DF7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963A3F" w:rsidRPr="0095638F" w:rsidRDefault="00963A3F" w:rsidP="00963A3F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Pr="0095638F">
              <w:rPr>
                <w:b/>
                <w:bCs/>
                <w:kern w:val="28"/>
              </w:rPr>
              <w:t xml:space="preserve"> </w:t>
            </w:r>
            <w:r>
              <w:rPr>
                <w:b/>
                <w:bCs/>
                <w:kern w:val="28"/>
              </w:rPr>
              <w:t>от</w:t>
            </w:r>
            <w:r w:rsidRPr="0095638F">
              <w:rPr>
                <w:b/>
                <w:bCs/>
                <w:kern w:val="28"/>
              </w:rPr>
              <w:t xml:space="preserve">крытого запроса </w:t>
            </w:r>
            <w:r>
              <w:rPr>
                <w:b/>
                <w:bCs/>
                <w:kern w:val="28"/>
              </w:rPr>
              <w:t>предложений</w:t>
            </w:r>
          </w:p>
        </w:tc>
      </w:tr>
    </w:tbl>
    <w:p w:rsidR="003721A1" w:rsidRPr="003421DA" w:rsidRDefault="003721A1" w:rsidP="003721A1">
      <w:pPr>
        <w:rPr>
          <w:sz w:val="23"/>
          <w:szCs w:val="23"/>
        </w:rPr>
      </w:pPr>
    </w:p>
    <w:p w:rsidR="00963A3F" w:rsidRPr="00E667C3" w:rsidRDefault="00963A3F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963A3F" w:rsidRPr="00E667C3" w:rsidTr="00963A3F">
        <w:tc>
          <w:tcPr>
            <w:tcW w:w="4106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«</w:t>
            </w:r>
            <w:r w:rsidRPr="00E667C3">
              <w:rPr>
                <w:sz w:val="23"/>
                <w:szCs w:val="23"/>
                <w:lang w:val="en-US"/>
              </w:rPr>
              <w:t>17</w:t>
            </w:r>
            <w:r w:rsidRPr="00E667C3">
              <w:rPr>
                <w:sz w:val="23"/>
                <w:szCs w:val="23"/>
              </w:rPr>
              <w:t>» мая 2017г.</w:t>
            </w:r>
          </w:p>
        </w:tc>
      </w:tr>
      <w:tr w:rsidR="00963A3F" w:rsidRPr="00E667C3" w:rsidTr="00963A3F">
        <w:tc>
          <w:tcPr>
            <w:tcW w:w="4106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г. Барнаул</w:t>
            </w:r>
          </w:p>
        </w:tc>
      </w:tr>
      <w:tr w:rsidR="00963A3F" w:rsidRPr="00E667C3" w:rsidTr="00963A3F">
        <w:tc>
          <w:tcPr>
            <w:tcW w:w="4106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963A3F" w:rsidRPr="00E667C3" w:rsidRDefault="00963A3F" w:rsidP="003E6DF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  <w:lang w:val="en-US"/>
              </w:rPr>
              <w:t>14</w:t>
            </w:r>
            <w:r w:rsidRPr="00E667C3">
              <w:rPr>
                <w:sz w:val="23"/>
                <w:szCs w:val="23"/>
              </w:rPr>
              <w:t>:00ч.</w:t>
            </w:r>
          </w:p>
        </w:tc>
      </w:tr>
    </w:tbl>
    <w:p w:rsidR="00963A3F" w:rsidRPr="00E667C3" w:rsidRDefault="00963A3F" w:rsidP="003721A1">
      <w:pPr>
        <w:rPr>
          <w:sz w:val="23"/>
          <w:szCs w:val="23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950A0" w:rsidRPr="00E667C3" w:rsidTr="004E2C6E">
        <w:tc>
          <w:tcPr>
            <w:tcW w:w="3407" w:type="dxa"/>
            <w:shd w:val="clear" w:color="auto" w:fill="FFFFFF"/>
          </w:tcPr>
          <w:p w:rsidR="005950A0" w:rsidRPr="00E667C3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A6DE2" w:rsidRPr="00E667C3" w:rsidRDefault="005A6DE2" w:rsidP="005A6D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Лот 1: «Электроотопительное оборудование»;</w:t>
            </w:r>
          </w:p>
          <w:p w:rsidR="005950A0" w:rsidRPr="00E667C3" w:rsidRDefault="005A6DE2" w:rsidP="005A6D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Лот 2: «Электрические котлы ZOTA»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880.17.00117, 880.17.00118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Электронная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Да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Сведения о начальной (максимальной) цене лота:</w:t>
            </w:r>
            <w:r w:rsidRPr="00E667C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color w:val="000000"/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Лот 1: 960 000,00 руб. без НДС;</w:t>
            </w:r>
          </w:p>
          <w:p w:rsidR="005A6DE2" w:rsidRPr="00E667C3" w:rsidRDefault="005A6DE2" w:rsidP="00B556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Лот 2: 1 150 000,00 руб. без НДС.</w:t>
            </w:r>
          </w:p>
        </w:tc>
      </w:tr>
      <w:tr w:rsidR="005A6DE2" w:rsidRPr="00E667C3" w:rsidTr="004E2C6E">
        <w:tc>
          <w:tcPr>
            <w:tcW w:w="3407" w:type="dxa"/>
            <w:shd w:val="clear" w:color="auto" w:fill="FFFFFF"/>
          </w:tcPr>
          <w:p w:rsidR="005A6DE2" w:rsidRPr="00E667C3" w:rsidRDefault="005A6DE2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667C3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A6DE2" w:rsidRPr="00E667C3" w:rsidRDefault="005A6DE2" w:rsidP="00B5568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E667C3">
              <w:rPr>
                <w:sz w:val="23"/>
                <w:szCs w:val="23"/>
              </w:rPr>
              <w:t>Май 2017г. – Декабрь 2017г.</w:t>
            </w:r>
          </w:p>
        </w:tc>
      </w:tr>
    </w:tbl>
    <w:p w:rsidR="003721A1" w:rsidRPr="00E667C3" w:rsidRDefault="003721A1" w:rsidP="00607DB7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ПОВЕСТКА:</w:t>
      </w:r>
    </w:p>
    <w:p w:rsidR="00F6534F" w:rsidRPr="00E667C3" w:rsidRDefault="00F6534F" w:rsidP="00F6534F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667C3">
        <w:rPr>
          <w:sz w:val="23"/>
          <w:szCs w:val="23"/>
        </w:rPr>
        <w:t>Об одобрении отчета по оценке поступивших предложений.</w:t>
      </w:r>
    </w:p>
    <w:p w:rsidR="00F6534F" w:rsidRPr="00E667C3" w:rsidRDefault="00F6534F" w:rsidP="00F6534F">
      <w:pPr>
        <w:pStyle w:val="af2"/>
        <w:numPr>
          <w:ilvl w:val="0"/>
          <w:numId w:val="43"/>
        </w:numPr>
        <w:ind w:left="993" w:hanging="426"/>
        <w:jc w:val="both"/>
        <w:rPr>
          <w:bCs/>
          <w:iCs/>
          <w:sz w:val="23"/>
          <w:szCs w:val="23"/>
        </w:rPr>
      </w:pPr>
      <w:r w:rsidRPr="00E667C3">
        <w:rPr>
          <w:bCs/>
          <w:iCs/>
          <w:sz w:val="23"/>
          <w:szCs w:val="23"/>
        </w:rPr>
        <w:t>Об отклонении заявок участников открытого запроса предложений.</w:t>
      </w:r>
    </w:p>
    <w:p w:rsidR="00F6534F" w:rsidRPr="00E667C3" w:rsidRDefault="00F6534F" w:rsidP="00EC329A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E667C3">
        <w:rPr>
          <w:sz w:val="23"/>
          <w:szCs w:val="23"/>
        </w:rPr>
        <w:t xml:space="preserve">О признании предложений </w:t>
      </w:r>
      <w:proofErr w:type="gramStart"/>
      <w:r w:rsidRPr="00E667C3">
        <w:rPr>
          <w:sz w:val="23"/>
          <w:szCs w:val="23"/>
        </w:rPr>
        <w:t>соответствующими</w:t>
      </w:r>
      <w:proofErr w:type="gramEnd"/>
      <w:r w:rsidRPr="00E667C3">
        <w:rPr>
          <w:sz w:val="23"/>
          <w:szCs w:val="23"/>
        </w:rPr>
        <w:t xml:space="preserve"> условиям</w:t>
      </w:r>
      <w:r w:rsidR="000841F4" w:rsidRPr="00E667C3">
        <w:rPr>
          <w:sz w:val="23"/>
          <w:szCs w:val="23"/>
        </w:rPr>
        <w:t xml:space="preserve"> открытого запроса предложений.</w:t>
      </w:r>
    </w:p>
    <w:p w:rsidR="00F6534F" w:rsidRPr="00E667C3" w:rsidRDefault="00F6534F" w:rsidP="00EC329A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О </w:t>
      </w:r>
      <w:proofErr w:type="spellStart"/>
      <w:r w:rsidRPr="00E667C3">
        <w:rPr>
          <w:sz w:val="23"/>
          <w:szCs w:val="23"/>
        </w:rPr>
        <w:t>ранжировке</w:t>
      </w:r>
      <w:proofErr w:type="spellEnd"/>
      <w:r w:rsidRPr="00E667C3">
        <w:rPr>
          <w:sz w:val="23"/>
          <w:szCs w:val="23"/>
        </w:rPr>
        <w:t xml:space="preserve"> Предложений поступивших в ходе проведения процедуры открытого запроса предложений.</w:t>
      </w:r>
    </w:p>
    <w:p w:rsidR="00F6534F" w:rsidRPr="00E667C3" w:rsidRDefault="00F6534F" w:rsidP="00EC329A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667C3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E667C3">
        <w:rPr>
          <w:sz w:val="23"/>
          <w:szCs w:val="23"/>
        </w:rPr>
        <w:t>.</w:t>
      </w:r>
    </w:p>
    <w:p w:rsidR="00F6534F" w:rsidRPr="00E667C3" w:rsidRDefault="00F6534F" w:rsidP="00EC329A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E667C3">
        <w:rPr>
          <w:bCs/>
          <w:iCs/>
          <w:sz w:val="23"/>
          <w:szCs w:val="23"/>
        </w:rPr>
        <w:t>открытого запроса предложений.</w:t>
      </w:r>
    </w:p>
    <w:p w:rsidR="00CA1B07" w:rsidRPr="00E667C3" w:rsidRDefault="00CA1B07" w:rsidP="00CA1B0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E667C3">
        <w:rPr>
          <w:b/>
          <w:caps/>
          <w:sz w:val="23"/>
          <w:szCs w:val="23"/>
        </w:rPr>
        <w:t>ВОПРОСЫ ЗАСЕДАНИЯ Закупочной КОМИССИИ:</w:t>
      </w:r>
    </w:p>
    <w:p w:rsidR="00E64161" w:rsidRPr="00E667C3" w:rsidRDefault="00E64161" w:rsidP="00EC329A">
      <w:pPr>
        <w:widowControl w:val="0"/>
        <w:numPr>
          <w:ilvl w:val="0"/>
          <w:numId w:val="6"/>
        </w:numPr>
        <w:tabs>
          <w:tab w:val="clear" w:pos="1134"/>
          <w:tab w:val="num" w:pos="851"/>
          <w:tab w:val="left" w:pos="993"/>
        </w:tabs>
        <w:snapToGrid w:val="0"/>
        <w:jc w:val="both"/>
        <w:outlineLvl w:val="2"/>
        <w:rPr>
          <w:sz w:val="23"/>
          <w:szCs w:val="23"/>
        </w:rPr>
      </w:pPr>
      <w:r w:rsidRPr="00E667C3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E64161" w:rsidRPr="00E667C3" w:rsidRDefault="00E64161" w:rsidP="00EC329A">
      <w:pPr>
        <w:widowControl w:val="0"/>
        <w:tabs>
          <w:tab w:val="left" w:pos="993"/>
        </w:tabs>
        <w:snapToGrid w:val="0"/>
        <w:ind w:firstLine="567"/>
        <w:jc w:val="both"/>
        <w:outlineLvl w:val="2"/>
        <w:rPr>
          <w:sz w:val="23"/>
          <w:szCs w:val="23"/>
        </w:rPr>
      </w:pPr>
      <w:r w:rsidRPr="00E667C3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64161" w:rsidRPr="00E667C3" w:rsidRDefault="00E64161" w:rsidP="00EC329A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2772EB" w:rsidRPr="00E667C3" w:rsidRDefault="002772EB" w:rsidP="00EC329A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i/>
          <w:sz w:val="23"/>
          <w:szCs w:val="23"/>
        </w:rPr>
      </w:pPr>
      <w:r w:rsidRPr="00E667C3">
        <w:rPr>
          <w:b/>
          <w:bCs/>
          <w:i/>
          <w:iCs/>
          <w:sz w:val="23"/>
          <w:szCs w:val="23"/>
        </w:rPr>
        <w:t>Об отклонении заявок участников открытого запроса предложений.</w:t>
      </w:r>
    </w:p>
    <w:p w:rsidR="002772EB" w:rsidRPr="00E667C3" w:rsidRDefault="002772EB" w:rsidP="002772EB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Предлагается отклонить заявки от дальнейшего участия в открытом запросе предложений:</w:t>
      </w:r>
    </w:p>
    <w:p w:rsidR="002772EB" w:rsidRPr="00E667C3" w:rsidRDefault="002772EB" w:rsidP="002772EB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по Лоту 1: «Электроотопительное оборудование»:</w:t>
      </w:r>
    </w:p>
    <w:p w:rsidR="002772EB" w:rsidRPr="00E667C3" w:rsidRDefault="002772EB" w:rsidP="002772EB">
      <w:pPr>
        <w:pStyle w:val="af2"/>
        <w:widowControl w:val="0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Закрытое акционерное общество "УРАЛ-МИКМА-ТЕРМ", 456306, Челябинская область, г. Миасс, ул. Дзержинского, 44 (ИНН 7415026200, КПП 741501001, ОГРН </w:t>
      </w:r>
      <w:r w:rsidRPr="00E667C3">
        <w:rPr>
          <w:sz w:val="23"/>
          <w:szCs w:val="23"/>
        </w:rPr>
        <w:lastRenderedPageBreak/>
        <w:t xml:space="preserve">1027400869099), поскольку предложение участника содержит существенные нарушения требований закупочной документации, а именно: </w:t>
      </w:r>
    </w:p>
    <w:p w:rsidR="0027163B" w:rsidRPr="000D3181" w:rsidRDefault="0027163B" w:rsidP="002772EB">
      <w:pPr>
        <w:pStyle w:val="af2"/>
        <w:widowControl w:val="0"/>
        <w:numPr>
          <w:ilvl w:val="0"/>
          <w:numId w:val="47"/>
        </w:numPr>
        <w:ind w:left="1134" w:hanging="283"/>
        <w:jc w:val="both"/>
        <w:rPr>
          <w:sz w:val="23"/>
          <w:szCs w:val="23"/>
        </w:rPr>
      </w:pPr>
      <w:r w:rsidRPr="000D3181">
        <w:rPr>
          <w:sz w:val="23"/>
          <w:szCs w:val="23"/>
        </w:rPr>
        <w:t xml:space="preserve">участник закупки отсутствует в Едином реестре субъектов малого и среднего предпринимательства, размещенном на официальном сайте ФНС России в сети «Интернет» по адресу </w:t>
      </w:r>
      <w:hyperlink r:id="rId11" w:history="1">
        <w:r w:rsidRPr="000D3181">
          <w:rPr>
            <w:rStyle w:val="ac"/>
            <w:sz w:val="23"/>
            <w:szCs w:val="23"/>
          </w:rPr>
          <w:t>https://rmsp.nalog.ru/search.html</w:t>
        </w:r>
      </w:hyperlink>
      <w:r w:rsidRPr="000D3181">
        <w:rPr>
          <w:sz w:val="23"/>
          <w:szCs w:val="23"/>
          <w:u w:val="single"/>
        </w:rPr>
        <w:t>,</w:t>
      </w:r>
      <w:r w:rsidRPr="000D3181">
        <w:rPr>
          <w:sz w:val="23"/>
          <w:szCs w:val="23"/>
        </w:rPr>
        <w:t xml:space="preserve"> что не соответствует требованиям </w:t>
      </w:r>
      <w:r w:rsidR="00CE0F87" w:rsidRPr="000D3181">
        <w:rPr>
          <w:sz w:val="23"/>
          <w:szCs w:val="23"/>
        </w:rPr>
        <w:t xml:space="preserve">п. 18 Извещения о </w:t>
      </w:r>
      <w:r w:rsidR="005B02A3" w:rsidRPr="000D3181">
        <w:rPr>
          <w:sz w:val="23"/>
          <w:szCs w:val="23"/>
        </w:rPr>
        <w:t>проведении</w:t>
      </w:r>
      <w:r w:rsidR="00CE0F87" w:rsidRPr="000D3181">
        <w:rPr>
          <w:sz w:val="23"/>
          <w:szCs w:val="23"/>
        </w:rPr>
        <w:t xml:space="preserve"> </w:t>
      </w:r>
      <w:r w:rsidR="005B02A3" w:rsidRPr="000D3181">
        <w:rPr>
          <w:sz w:val="23"/>
          <w:szCs w:val="23"/>
        </w:rPr>
        <w:t>закупки</w:t>
      </w:r>
      <w:r w:rsidRPr="000D3181">
        <w:rPr>
          <w:sz w:val="23"/>
          <w:szCs w:val="23"/>
        </w:rPr>
        <w:t>;</w:t>
      </w:r>
    </w:p>
    <w:p w:rsidR="002772EB" w:rsidRPr="00472EE2" w:rsidRDefault="00472EE2" w:rsidP="002772EB">
      <w:pPr>
        <w:pStyle w:val="af2"/>
        <w:widowControl w:val="0"/>
        <w:numPr>
          <w:ilvl w:val="0"/>
          <w:numId w:val="47"/>
        </w:numPr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условия оплаты, предложенные  участником (</w:t>
      </w:r>
      <w:r w:rsidR="002772EB" w:rsidRPr="00472EE2">
        <w:rPr>
          <w:bCs/>
          <w:iCs/>
          <w:sz w:val="23"/>
          <w:szCs w:val="23"/>
        </w:rPr>
        <w:t>100% предоплата</w:t>
      </w:r>
      <w:r>
        <w:rPr>
          <w:bCs/>
          <w:iCs/>
          <w:sz w:val="23"/>
          <w:szCs w:val="23"/>
        </w:rPr>
        <w:t>),</w:t>
      </w:r>
      <w:r w:rsidR="002772EB" w:rsidRPr="00472EE2">
        <w:rPr>
          <w:sz w:val="23"/>
          <w:szCs w:val="23"/>
        </w:rPr>
        <w:t xml:space="preserve"> не </w:t>
      </w:r>
      <w:r w:rsidRPr="00472EE2">
        <w:rPr>
          <w:sz w:val="23"/>
          <w:szCs w:val="23"/>
        </w:rPr>
        <w:t>соответству</w:t>
      </w:r>
      <w:r>
        <w:rPr>
          <w:sz w:val="23"/>
          <w:szCs w:val="23"/>
        </w:rPr>
        <w:t>ю</w:t>
      </w:r>
      <w:r w:rsidRPr="00472EE2">
        <w:rPr>
          <w:sz w:val="23"/>
          <w:szCs w:val="23"/>
        </w:rPr>
        <w:t xml:space="preserve">т требованиям п. 3.6 </w:t>
      </w:r>
      <w:r w:rsidR="002772EB" w:rsidRPr="00472EE2">
        <w:rPr>
          <w:sz w:val="23"/>
          <w:szCs w:val="23"/>
        </w:rPr>
        <w:t>Технического задания;</w:t>
      </w:r>
    </w:p>
    <w:p w:rsidR="002772EB" w:rsidRPr="00472EE2" w:rsidRDefault="00472EE2" w:rsidP="00472EE2">
      <w:pPr>
        <w:pStyle w:val="af2"/>
        <w:widowControl w:val="0"/>
        <w:numPr>
          <w:ilvl w:val="0"/>
          <w:numId w:val="47"/>
        </w:numPr>
        <w:ind w:left="1134" w:hanging="283"/>
        <w:jc w:val="both"/>
        <w:rPr>
          <w:sz w:val="23"/>
          <w:szCs w:val="23"/>
        </w:rPr>
      </w:pPr>
      <w:r w:rsidRPr="00472EE2">
        <w:rPr>
          <w:sz w:val="23"/>
          <w:szCs w:val="23"/>
        </w:rPr>
        <w:t>срок поставки товаров (15 рабочих дней) не соответствует требованиям п. 3.2 Технического задания (10 календарных дней)</w:t>
      </w:r>
      <w:r w:rsidR="002772EB" w:rsidRPr="00472EE2">
        <w:rPr>
          <w:sz w:val="23"/>
          <w:szCs w:val="23"/>
        </w:rPr>
        <w:t xml:space="preserve">; </w:t>
      </w:r>
    </w:p>
    <w:p w:rsidR="002772EB" w:rsidRPr="007D6525" w:rsidRDefault="007D6525" w:rsidP="002772EB">
      <w:pPr>
        <w:pStyle w:val="af2"/>
        <w:widowControl w:val="0"/>
        <w:numPr>
          <w:ilvl w:val="0"/>
          <w:numId w:val="47"/>
        </w:numPr>
        <w:ind w:left="1134" w:hanging="283"/>
        <w:jc w:val="both"/>
        <w:rPr>
          <w:sz w:val="23"/>
          <w:szCs w:val="23"/>
        </w:rPr>
      </w:pPr>
      <w:r w:rsidRPr="007D6525">
        <w:rPr>
          <w:sz w:val="23"/>
          <w:szCs w:val="23"/>
        </w:rPr>
        <w:t>гаранти</w:t>
      </w:r>
      <w:r w:rsidR="0027163B">
        <w:rPr>
          <w:sz w:val="23"/>
          <w:szCs w:val="23"/>
        </w:rPr>
        <w:t>йный срок</w:t>
      </w:r>
      <w:r w:rsidRPr="007D6525">
        <w:rPr>
          <w:sz w:val="23"/>
          <w:szCs w:val="23"/>
        </w:rPr>
        <w:t xml:space="preserve"> на товар, предложенн</w:t>
      </w:r>
      <w:r w:rsidR="0027163B">
        <w:rPr>
          <w:sz w:val="23"/>
          <w:szCs w:val="23"/>
        </w:rPr>
        <w:t>ый</w:t>
      </w:r>
      <w:r w:rsidRPr="007D6525">
        <w:rPr>
          <w:sz w:val="23"/>
          <w:szCs w:val="23"/>
        </w:rPr>
        <w:t xml:space="preserve"> участником (12 месяцев) не соответствует требованиям п. 2.6 Технического задания (</w:t>
      </w:r>
      <w:r w:rsidR="002772EB" w:rsidRPr="007D6525">
        <w:rPr>
          <w:sz w:val="23"/>
          <w:szCs w:val="23"/>
        </w:rPr>
        <w:t>гарантийный срок должен быть не менее 24 мес</w:t>
      </w:r>
      <w:r w:rsidRPr="007D6525">
        <w:rPr>
          <w:sz w:val="23"/>
          <w:szCs w:val="23"/>
        </w:rPr>
        <w:t>яцев)</w:t>
      </w:r>
      <w:r w:rsidR="002772EB" w:rsidRPr="007D6525">
        <w:rPr>
          <w:sz w:val="23"/>
          <w:szCs w:val="23"/>
        </w:rPr>
        <w:t>.</w:t>
      </w:r>
    </w:p>
    <w:p w:rsidR="002772EB" w:rsidRPr="00E667C3" w:rsidRDefault="002772EB" w:rsidP="002772EB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3"/>
          <w:szCs w:val="23"/>
        </w:rPr>
      </w:pPr>
      <w:r w:rsidRPr="00E667C3">
        <w:rPr>
          <w:b/>
          <w:sz w:val="23"/>
          <w:szCs w:val="23"/>
        </w:rPr>
        <w:t>по Лоту 1: «Электроотопительное оборудование», 2: «Электрические котлы ZOTA»:</w:t>
      </w:r>
    </w:p>
    <w:p w:rsidR="00961654" w:rsidRPr="00961654" w:rsidRDefault="002772EB" w:rsidP="00961654">
      <w:pPr>
        <w:pStyle w:val="af2"/>
        <w:widowControl w:val="0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Общество с ограниченной ответственностью "ВЕКТОР", 656066, г. Барнаул, ул. </w:t>
      </w:r>
      <w:proofErr w:type="gramStart"/>
      <w:r w:rsidRPr="00E667C3">
        <w:rPr>
          <w:sz w:val="23"/>
          <w:szCs w:val="23"/>
        </w:rPr>
        <w:t>Новгородская</w:t>
      </w:r>
      <w:proofErr w:type="gramEnd"/>
      <w:r w:rsidRPr="00E667C3">
        <w:rPr>
          <w:sz w:val="23"/>
          <w:szCs w:val="23"/>
        </w:rPr>
        <w:t xml:space="preserve">, 22, офис 12 (ИНН 2222827155, КПП 222201001, ОГРН 1142223009400), поскольку </w:t>
      </w:r>
      <w:r w:rsidR="00676D50" w:rsidRPr="00676D50">
        <w:rPr>
          <w:sz w:val="23"/>
          <w:szCs w:val="23"/>
        </w:rPr>
        <w:t>участник не соответствует требованиям п. 5</w:t>
      </w:r>
      <w:r w:rsidR="00676D50">
        <w:rPr>
          <w:sz w:val="23"/>
          <w:szCs w:val="23"/>
        </w:rPr>
        <w:t>.</w:t>
      </w:r>
      <w:r w:rsidR="00676D50" w:rsidRPr="00676D50">
        <w:rPr>
          <w:sz w:val="23"/>
          <w:szCs w:val="23"/>
        </w:rPr>
        <w:t>2</w:t>
      </w:r>
      <w:r w:rsidR="00676D50">
        <w:rPr>
          <w:sz w:val="23"/>
          <w:szCs w:val="23"/>
        </w:rPr>
        <w:t>.</w:t>
      </w:r>
      <w:r w:rsidR="00676D50" w:rsidRPr="00676D50">
        <w:rPr>
          <w:sz w:val="23"/>
          <w:szCs w:val="23"/>
        </w:rPr>
        <w:t>2</w:t>
      </w:r>
      <w:r w:rsidR="00676D50">
        <w:rPr>
          <w:sz w:val="23"/>
          <w:szCs w:val="23"/>
        </w:rPr>
        <w:t>.</w:t>
      </w:r>
      <w:r w:rsidR="00676D50" w:rsidRPr="00676D50">
        <w:rPr>
          <w:sz w:val="23"/>
          <w:szCs w:val="23"/>
        </w:rPr>
        <w:t xml:space="preserve"> </w:t>
      </w:r>
      <w:r w:rsidR="00676D50">
        <w:rPr>
          <w:sz w:val="23"/>
          <w:szCs w:val="23"/>
        </w:rPr>
        <w:t xml:space="preserve">Закупочной документации: </w:t>
      </w:r>
      <w:r w:rsidR="00961654">
        <w:rPr>
          <w:sz w:val="23"/>
          <w:szCs w:val="23"/>
        </w:rPr>
        <w:t>с</w:t>
      </w:r>
      <w:r w:rsidR="00961654" w:rsidRPr="00961654">
        <w:rPr>
          <w:sz w:val="23"/>
          <w:szCs w:val="23"/>
        </w:rPr>
        <w:t xml:space="preserve"> точки зрения финансовой устойчивости риски сотрудничества с участником оцениваются как высокие</w:t>
      </w:r>
      <w:r w:rsidR="00961654">
        <w:rPr>
          <w:sz w:val="23"/>
          <w:szCs w:val="23"/>
        </w:rPr>
        <w:t>; р</w:t>
      </w:r>
      <w:r w:rsidR="00961654" w:rsidRPr="00961654">
        <w:rPr>
          <w:sz w:val="23"/>
          <w:szCs w:val="23"/>
        </w:rPr>
        <w:t>яд финансовых показателей, в отдельные отчетные периоды, выходят за рамки допустимых диапазонов</w:t>
      </w:r>
      <w:r w:rsidR="00961654">
        <w:rPr>
          <w:sz w:val="23"/>
          <w:szCs w:val="23"/>
        </w:rPr>
        <w:t>;</w:t>
      </w:r>
      <w:r w:rsidR="00961654" w:rsidRPr="00961654">
        <w:rPr>
          <w:sz w:val="23"/>
          <w:szCs w:val="23"/>
        </w:rPr>
        <w:t xml:space="preserve"> </w:t>
      </w:r>
      <w:r w:rsidR="00961654">
        <w:rPr>
          <w:sz w:val="23"/>
          <w:szCs w:val="23"/>
        </w:rPr>
        <w:t>у</w:t>
      </w:r>
      <w:r w:rsidR="00961654" w:rsidRPr="00961654">
        <w:rPr>
          <w:sz w:val="23"/>
          <w:szCs w:val="23"/>
        </w:rPr>
        <w:t>бытки за последние отчетные периоды.</w:t>
      </w:r>
    </w:p>
    <w:p w:rsidR="00E64161" w:rsidRPr="00E667C3" w:rsidRDefault="00E64161" w:rsidP="002772EB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i/>
          <w:sz w:val="23"/>
          <w:szCs w:val="23"/>
        </w:rPr>
      </w:pPr>
      <w:r w:rsidRPr="00E667C3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E667C3">
        <w:rPr>
          <w:b/>
          <w:i/>
          <w:sz w:val="23"/>
          <w:szCs w:val="23"/>
        </w:rPr>
        <w:t>соответствующими</w:t>
      </w:r>
      <w:proofErr w:type="gramEnd"/>
      <w:r w:rsidRPr="00E667C3">
        <w:rPr>
          <w:b/>
          <w:i/>
          <w:sz w:val="23"/>
          <w:szCs w:val="23"/>
        </w:rPr>
        <w:t xml:space="preserve"> условиям открытого запроса предложений</w:t>
      </w:r>
      <w:r w:rsidR="000B009A" w:rsidRPr="00E667C3">
        <w:rPr>
          <w:b/>
          <w:i/>
          <w:sz w:val="23"/>
          <w:szCs w:val="23"/>
        </w:rPr>
        <w:t>.</w:t>
      </w:r>
    </w:p>
    <w:p w:rsidR="003D5B0E" w:rsidRPr="00E667C3" w:rsidRDefault="003D5B0E" w:rsidP="00EC329A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по Лоту 1: «Электроотопительное оборудование», 2: «Электрические котлы ZOTA»:</w:t>
      </w:r>
    </w:p>
    <w:p w:rsidR="00E64161" w:rsidRPr="00E667C3" w:rsidRDefault="00E64161" w:rsidP="00EC329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Предложен</w:t>
      </w:r>
      <w:r w:rsidR="00BE47D0" w:rsidRPr="00E667C3">
        <w:rPr>
          <w:sz w:val="23"/>
          <w:szCs w:val="23"/>
        </w:rPr>
        <w:t>ия</w:t>
      </w:r>
      <w:r w:rsidRPr="00E667C3">
        <w:rPr>
          <w:sz w:val="23"/>
          <w:szCs w:val="23"/>
        </w:rPr>
        <w:t>, поступивш</w:t>
      </w:r>
      <w:r w:rsidR="00BE47D0" w:rsidRPr="00E667C3">
        <w:rPr>
          <w:sz w:val="23"/>
          <w:szCs w:val="23"/>
        </w:rPr>
        <w:t>ие</w:t>
      </w:r>
      <w:r w:rsidRPr="00E667C3">
        <w:rPr>
          <w:sz w:val="23"/>
          <w:szCs w:val="23"/>
        </w:rPr>
        <w:t xml:space="preserve"> от Участник</w:t>
      </w:r>
      <w:r w:rsidR="000B009A" w:rsidRPr="00E667C3">
        <w:rPr>
          <w:sz w:val="23"/>
          <w:szCs w:val="23"/>
        </w:rPr>
        <w:t>а</w:t>
      </w:r>
      <w:r w:rsidRPr="00E667C3">
        <w:rPr>
          <w:sz w:val="23"/>
          <w:szCs w:val="23"/>
        </w:rPr>
        <w:t>:</w:t>
      </w:r>
    </w:p>
    <w:p w:rsidR="00E64161" w:rsidRPr="00E667C3" w:rsidRDefault="000B009A" w:rsidP="003D5B0E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Общество с ограниченной ответственностью "ТД ДЭГЕР", 656055, г. Барнаул, ул. Малахова, д. 56, кв. 71 (ИНН 2223602651, КПП 222301001, ОГРН 1142223014724) </w:t>
      </w:r>
      <w:r w:rsidR="00E64161" w:rsidRPr="00E667C3">
        <w:rPr>
          <w:sz w:val="23"/>
          <w:szCs w:val="23"/>
        </w:rPr>
        <w:t>предлагается признать удовлетворяющим</w:t>
      </w:r>
      <w:r w:rsidR="00BE47D0" w:rsidRPr="00E667C3">
        <w:rPr>
          <w:sz w:val="23"/>
          <w:szCs w:val="23"/>
        </w:rPr>
        <w:t>и</w:t>
      </w:r>
      <w:r w:rsidR="00E64161" w:rsidRPr="00E667C3">
        <w:rPr>
          <w:sz w:val="23"/>
          <w:szCs w:val="23"/>
        </w:rPr>
        <w:t xml:space="preserve">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E64161" w:rsidRPr="00E667C3" w:rsidRDefault="00E64161" w:rsidP="00EC329A">
      <w:pPr>
        <w:pStyle w:val="af2"/>
        <w:numPr>
          <w:ilvl w:val="0"/>
          <w:numId w:val="6"/>
        </w:numPr>
        <w:tabs>
          <w:tab w:val="clear" w:pos="1134"/>
          <w:tab w:val="num" w:pos="851"/>
          <w:tab w:val="left" w:pos="993"/>
        </w:tabs>
        <w:jc w:val="both"/>
        <w:rPr>
          <w:b/>
          <w:bCs/>
          <w:i/>
          <w:iCs/>
          <w:sz w:val="23"/>
          <w:szCs w:val="23"/>
        </w:rPr>
      </w:pPr>
      <w:r w:rsidRPr="00E667C3">
        <w:rPr>
          <w:b/>
          <w:bCs/>
          <w:i/>
          <w:iCs/>
          <w:sz w:val="23"/>
          <w:szCs w:val="23"/>
        </w:rPr>
        <w:t xml:space="preserve">О </w:t>
      </w:r>
      <w:proofErr w:type="spellStart"/>
      <w:r w:rsidRPr="00E667C3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E667C3">
        <w:rPr>
          <w:b/>
          <w:bCs/>
          <w:i/>
          <w:iCs/>
          <w:sz w:val="23"/>
          <w:szCs w:val="23"/>
        </w:rPr>
        <w:t xml:space="preserve"> Предложений поступивших в ходе проведения процедуры открытого запроса предложений.</w:t>
      </w:r>
    </w:p>
    <w:p w:rsidR="00B328E4" w:rsidRPr="00E667C3" w:rsidRDefault="00B328E4" w:rsidP="00EC329A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B328E4" w:rsidRPr="00E667C3" w:rsidRDefault="00B328E4" w:rsidP="00EC329A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Лот 1: «Электроотопительное оборудование»:</w:t>
      </w:r>
    </w:p>
    <w:p w:rsidR="00E64161" w:rsidRPr="00E667C3" w:rsidRDefault="00E64161" w:rsidP="00EC329A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E667C3">
        <w:rPr>
          <w:b/>
          <w:sz w:val="23"/>
          <w:szCs w:val="23"/>
        </w:rPr>
        <w:t>первое место:</w:t>
      </w:r>
      <w:r w:rsidRPr="00E667C3">
        <w:rPr>
          <w:sz w:val="23"/>
          <w:szCs w:val="23"/>
        </w:rPr>
        <w:t xml:space="preserve"> </w:t>
      </w:r>
      <w:r w:rsidR="00B328E4" w:rsidRPr="00E667C3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E667C3">
        <w:rPr>
          <w:sz w:val="23"/>
          <w:szCs w:val="23"/>
        </w:rPr>
        <w:t xml:space="preserve">, предложение на поставку товаров общей стоимостью </w:t>
      </w:r>
      <w:r w:rsidR="00B328E4" w:rsidRPr="00E667C3">
        <w:rPr>
          <w:sz w:val="23"/>
          <w:szCs w:val="23"/>
        </w:rPr>
        <w:t xml:space="preserve">945 661,02 </w:t>
      </w:r>
      <w:r w:rsidRPr="00E667C3">
        <w:rPr>
          <w:sz w:val="23"/>
          <w:szCs w:val="23"/>
        </w:rPr>
        <w:t xml:space="preserve">руб. без НДС. </w:t>
      </w:r>
      <w:r w:rsidR="00B328E4"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B328E4" w:rsidRPr="00E667C3" w:rsidRDefault="00B328E4" w:rsidP="00EC329A">
      <w:pPr>
        <w:widowControl w:val="0"/>
        <w:tabs>
          <w:tab w:val="left" w:pos="567"/>
          <w:tab w:val="left" w:pos="851"/>
        </w:tabs>
        <w:ind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 xml:space="preserve">Лот 2: «Электрические котлы ZOTA»: </w:t>
      </w:r>
    </w:p>
    <w:p w:rsidR="00B328E4" w:rsidRPr="00E667C3" w:rsidRDefault="00B328E4" w:rsidP="00EC329A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E667C3">
        <w:rPr>
          <w:b/>
          <w:sz w:val="23"/>
          <w:szCs w:val="23"/>
        </w:rPr>
        <w:t>первое место:</w:t>
      </w:r>
      <w:r w:rsidRPr="00E667C3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1 133 220,34 руб. без НДС. </w:t>
      </w:r>
      <w:r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E64161" w:rsidRPr="00E667C3" w:rsidRDefault="00E64161" w:rsidP="00EC329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667C3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E667C3">
        <w:rPr>
          <w:b/>
          <w:i/>
          <w:sz w:val="23"/>
          <w:szCs w:val="23"/>
        </w:rPr>
        <w:t>.</w:t>
      </w:r>
    </w:p>
    <w:p w:rsidR="00E64161" w:rsidRPr="00E667C3" w:rsidRDefault="00B328E4" w:rsidP="00EC329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На основании п. 4.14.2.9. Закупочной документации открытого запроса предложений предлагается признать открытый запрос предложений</w:t>
      </w:r>
      <w:r w:rsidR="000841F4" w:rsidRPr="00E667C3">
        <w:rPr>
          <w:sz w:val="23"/>
          <w:szCs w:val="23"/>
        </w:rPr>
        <w:t xml:space="preserve"> </w:t>
      </w:r>
      <w:r w:rsidRPr="00E667C3">
        <w:rPr>
          <w:sz w:val="23"/>
          <w:szCs w:val="23"/>
        </w:rPr>
        <w:t xml:space="preserve">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«Электроотопительное оборудование»; Лот </w:t>
      </w:r>
      <w:r w:rsidRPr="00E667C3">
        <w:rPr>
          <w:sz w:val="23"/>
          <w:szCs w:val="23"/>
        </w:rPr>
        <w:lastRenderedPageBreak/>
        <w:t xml:space="preserve">2: «Электрические котлы ZOTA» для нужд АО «Алтайэнергосбыт» состоявшимся и признать Победителем </w:t>
      </w:r>
      <w:r w:rsidR="000D385C" w:rsidRPr="00E667C3">
        <w:rPr>
          <w:sz w:val="23"/>
          <w:szCs w:val="23"/>
        </w:rPr>
        <w:t xml:space="preserve">открытого запроса предложений </w:t>
      </w:r>
      <w:r w:rsidRPr="00E667C3">
        <w:rPr>
          <w:sz w:val="23"/>
          <w:szCs w:val="23"/>
        </w:rPr>
        <w:t>участника:</w:t>
      </w:r>
    </w:p>
    <w:p w:rsidR="00C66044" w:rsidRPr="00E667C3" w:rsidRDefault="00C66044" w:rsidP="00EC329A">
      <w:pPr>
        <w:pStyle w:val="af2"/>
        <w:tabs>
          <w:tab w:val="left" w:pos="851"/>
        </w:tabs>
        <w:ind w:left="0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Лот 1: «Электроотопительное оборудование»:</w:t>
      </w:r>
    </w:p>
    <w:p w:rsidR="00C66044" w:rsidRPr="00E667C3" w:rsidRDefault="00E64161" w:rsidP="00EC329A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E667C3">
        <w:rPr>
          <w:b/>
          <w:sz w:val="23"/>
          <w:szCs w:val="23"/>
        </w:rPr>
        <w:t>первое место:</w:t>
      </w:r>
      <w:r w:rsidRPr="00E667C3">
        <w:rPr>
          <w:sz w:val="23"/>
          <w:szCs w:val="23"/>
        </w:rPr>
        <w:t xml:space="preserve"> </w:t>
      </w:r>
      <w:r w:rsidR="00C66044" w:rsidRPr="00E667C3">
        <w:rPr>
          <w:sz w:val="23"/>
          <w:szCs w:val="23"/>
        </w:rPr>
        <w:t xml:space="preserve">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945 661,02 руб. без НДС. </w:t>
      </w:r>
      <w:r w:rsidR="00C66044"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C66044" w:rsidRPr="00E667C3" w:rsidRDefault="00C66044" w:rsidP="00EC329A">
      <w:pPr>
        <w:widowControl w:val="0"/>
        <w:tabs>
          <w:tab w:val="left" w:pos="567"/>
          <w:tab w:val="left" w:pos="851"/>
        </w:tabs>
        <w:ind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 xml:space="preserve">Лот 2: «Электрические котлы ZOTA»: </w:t>
      </w:r>
    </w:p>
    <w:p w:rsidR="00C66044" w:rsidRPr="00E667C3" w:rsidRDefault="00C66044" w:rsidP="00EC329A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E667C3">
        <w:rPr>
          <w:b/>
          <w:sz w:val="23"/>
          <w:szCs w:val="23"/>
        </w:rPr>
        <w:t>первое место:</w:t>
      </w:r>
      <w:r w:rsidRPr="00E667C3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1 133 220,34 руб. без НДС. </w:t>
      </w:r>
      <w:r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E64161" w:rsidRPr="00E667C3" w:rsidRDefault="00E64161" w:rsidP="00EC329A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E667C3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E667C3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811EFA" w:rsidRPr="00E667C3" w:rsidRDefault="00E64161" w:rsidP="002772EB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предложений:</w:t>
      </w:r>
      <w:r w:rsidR="002772EB" w:rsidRPr="00E667C3">
        <w:rPr>
          <w:sz w:val="23"/>
          <w:szCs w:val="23"/>
        </w:rPr>
        <w:t xml:space="preserve"> </w:t>
      </w:r>
      <w:r w:rsidR="00C66044" w:rsidRPr="00E667C3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2772EB" w:rsidRPr="00E667C3">
        <w:rPr>
          <w:sz w:val="23"/>
          <w:szCs w:val="23"/>
        </w:rPr>
        <w:t>.</w:t>
      </w:r>
    </w:p>
    <w:p w:rsidR="00E64161" w:rsidRPr="00E667C3" w:rsidRDefault="00E64161" w:rsidP="002772EB">
      <w:pPr>
        <w:pStyle w:val="af2"/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napToGrid w:val="0"/>
          <w:sz w:val="23"/>
          <w:szCs w:val="23"/>
        </w:rPr>
        <w:t>Зафиксировать результаты преддоговорных переговоров в окончательных условиях заключаемого договора.</w:t>
      </w:r>
    </w:p>
    <w:p w:rsidR="00E64161" w:rsidRPr="00E667C3" w:rsidRDefault="00E64161" w:rsidP="00EC329A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E667C3">
        <w:rPr>
          <w:b/>
          <w:caps/>
          <w:sz w:val="23"/>
          <w:szCs w:val="23"/>
        </w:rPr>
        <w:t>РЕШИЛИ:</w:t>
      </w:r>
    </w:p>
    <w:p w:rsidR="00E64161" w:rsidRPr="00E667C3" w:rsidRDefault="00E64161" w:rsidP="00EC329A">
      <w:pPr>
        <w:pStyle w:val="af2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Одобрить Отчет по оценке Предложений.</w:t>
      </w:r>
    </w:p>
    <w:p w:rsidR="00E02865" w:rsidRPr="00E667C3" w:rsidRDefault="00E02865" w:rsidP="00EC329A">
      <w:pPr>
        <w:pStyle w:val="af2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Отклонить заявки</w:t>
      </w:r>
      <w:r w:rsidR="00B4055E" w:rsidRPr="00E667C3">
        <w:rPr>
          <w:sz w:val="23"/>
          <w:szCs w:val="23"/>
        </w:rPr>
        <w:t xml:space="preserve"> от дальнейшего участия в открытом запросе предложений</w:t>
      </w:r>
      <w:r w:rsidRPr="00E667C3">
        <w:rPr>
          <w:sz w:val="23"/>
          <w:szCs w:val="23"/>
        </w:rPr>
        <w:t>:</w:t>
      </w:r>
      <w:r w:rsidR="001A3512" w:rsidRPr="00E667C3">
        <w:rPr>
          <w:sz w:val="23"/>
          <w:szCs w:val="23"/>
        </w:rPr>
        <w:t xml:space="preserve"> Закрытое акционерное общество "УРАЛ-МИКМА-ТЕРМ", г. Миасс (по Лоту 1)</w:t>
      </w:r>
      <w:r w:rsidR="00E144B5" w:rsidRPr="00E667C3">
        <w:rPr>
          <w:sz w:val="23"/>
          <w:szCs w:val="23"/>
        </w:rPr>
        <w:t xml:space="preserve"> в соответствии с п.</w:t>
      </w:r>
      <w:r w:rsidR="00B4055E" w:rsidRPr="00E667C3">
        <w:rPr>
          <w:sz w:val="23"/>
          <w:szCs w:val="23"/>
        </w:rPr>
        <w:t xml:space="preserve"> </w:t>
      </w:r>
      <w:r w:rsidR="00E144B5" w:rsidRPr="00E667C3">
        <w:rPr>
          <w:sz w:val="23"/>
          <w:szCs w:val="23"/>
        </w:rPr>
        <w:t>4.14.2.4</w:t>
      </w:r>
      <w:r w:rsidR="00B4055E" w:rsidRPr="00E667C3">
        <w:rPr>
          <w:sz w:val="23"/>
          <w:szCs w:val="23"/>
        </w:rPr>
        <w:t>.</w:t>
      </w:r>
      <w:r w:rsidR="00E144B5" w:rsidRPr="00E667C3">
        <w:rPr>
          <w:sz w:val="23"/>
          <w:szCs w:val="23"/>
        </w:rPr>
        <w:t xml:space="preserve"> Закупочной документации</w:t>
      </w:r>
      <w:r w:rsidR="001A3512" w:rsidRPr="00E667C3">
        <w:rPr>
          <w:sz w:val="23"/>
          <w:szCs w:val="23"/>
        </w:rPr>
        <w:t xml:space="preserve">, Общество с ограниченной ответственностью "ВЕКТОР", г. Барнаул (по Лоту 1, 2) в соответствии с п. </w:t>
      </w:r>
      <w:r w:rsidR="00B4055E" w:rsidRPr="00E667C3">
        <w:rPr>
          <w:sz w:val="23"/>
          <w:szCs w:val="23"/>
        </w:rPr>
        <w:t>5</w:t>
      </w:r>
      <w:r w:rsidR="001A3512" w:rsidRPr="00E667C3">
        <w:rPr>
          <w:sz w:val="23"/>
          <w:szCs w:val="23"/>
        </w:rPr>
        <w:t>.</w:t>
      </w:r>
      <w:r w:rsidR="00B4055E" w:rsidRPr="00E667C3">
        <w:rPr>
          <w:sz w:val="23"/>
          <w:szCs w:val="23"/>
        </w:rPr>
        <w:t>2</w:t>
      </w:r>
      <w:r w:rsidR="001A3512" w:rsidRPr="00E667C3">
        <w:rPr>
          <w:sz w:val="23"/>
          <w:szCs w:val="23"/>
        </w:rPr>
        <w:t>.2.</w:t>
      </w:r>
      <w:r w:rsidR="00B4055E" w:rsidRPr="00E667C3">
        <w:rPr>
          <w:sz w:val="23"/>
          <w:szCs w:val="23"/>
        </w:rPr>
        <w:t xml:space="preserve"> </w:t>
      </w:r>
      <w:r w:rsidR="001A3512" w:rsidRPr="00E667C3">
        <w:rPr>
          <w:sz w:val="23"/>
          <w:szCs w:val="23"/>
        </w:rPr>
        <w:t>Закупочной документации.</w:t>
      </w:r>
    </w:p>
    <w:p w:rsidR="00E64161" w:rsidRPr="00E667C3" w:rsidRDefault="00E64161" w:rsidP="00EC329A">
      <w:pPr>
        <w:pStyle w:val="af2"/>
        <w:widowControl w:val="0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Признать Предложени</w:t>
      </w:r>
      <w:r w:rsidR="00042EC4" w:rsidRPr="00E667C3">
        <w:rPr>
          <w:sz w:val="23"/>
          <w:szCs w:val="23"/>
        </w:rPr>
        <w:t>я</w:t>
      </w:r>
      <w:r w:rsidRPr="00E667C3">
        <w:rPr>
          <w:sz w:val="23"/>
          <w:szCs w:val="23"/>
        </w:rPr>
        <w:t xml:space="preserve">: </w:t>
      </w:r>
      <w:r w:rsidR="00042EC4" w:rsidRPr="00E667C3">
        <w:rPr>
          <w:sz w:val="23"/>
          <w:szCs w:val="23"/>
        </w:rPr>
        <w:t>Общество с ограниченной ответственностью "ТД ДЭГЕР", г. Барнаул</w:t>
      </w:r>
      <w:r w:rsidRPr="00E667C3">
        <w:rPr>
          <w:sz w:val="23"/>
          <w:szCs w:val="23"/>
        </w:rPr>
        <w:t xml:space="preserve"> </w:t>
      </w:r>
      <w:proofErr w:type="gramStart"/>
      <w:r w:rsidRPr="00E667C3">
        <w:rPr>
          <w:sz w:val="23"/>
          <w:szCs w:val="23"/>
        </w:rPr>
        <w:t>соответствующим</w:t>
      </w:r>
      <w:r w:rsidR="00042EC4" w:rsidRPr="00E667C3">
        <w:rPr>
          <w:sz w:val="23"/>
          <w:szCs w:val="23"/>
        </w:rPr>
        <w:t>и</w:t>
      </w:r>
      <w:proofErr w:type="gramEnd"/>
      <w:r w:rsidRPr="00E667C3">
        <w:rPr>
          <w:sz w:val="23"/>
          <w:szCs w:val="23"/>
        </w:rPr>
        <w:t xml:space="preserve"> по существу условиям открытого запроса предложений.</w:t>
      </w:r>
    </w:p>
    <w:p w:rsidR="00E64161" w:rsidRPr="00E667C3" w:rsidRDefault="00E64161" w:rsidP="00EC329A">
      <w:pPr>
        <w:pStyle w:val="af2"/>
        <w:numPr>
          <w:ilvl w:val="0"/>
          <w:numId w:val="45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Утвердить </w:t>
      </w:r>
      <w:proofErr w:type="spellStart"/>
      <w:r w:rsidRPr="00E667C3">
        <w:rPr>
          <w:sz w:val="23"/>
          <w:szCs w:val="23"/>
        </w:rPr>
        <w:t>ранжировку</w:t>
      </w:r>
      <w:proofErr w:type="spellEnd"/>
      <w:r w:rsidRPr="00E667C3">
        <w:rPr>
          <w:sz w:val="23"/>
          <w:szCs w:val="23"/>
        </w:rPr>
        <w:t xml:space="preserve"> предложений.</w:t>
      </w:r>
    </w:p>
    <w:p w:rsidR="00B4055E" w:rsidRPr="00E667C3" w:rsidRDefault="00B4055E" w:rsidP="00B4055E">
      <w:pPr>
        <w:pStyle w:val="af2"/>
        <w:numPr>
          <w:ilvl w:val="0"/>
          <w:numId w:val="45"/>
        </w:numPr>
        <w:tabs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Признать Победителем открытого </w:t>
      </w:r>
      <w:r w:rsidRPr="00E667C3">
        <w:rPr>
          <w:bCs/>
          <w:iCs/>
          <w:sz w:val="23"/>
          <w:szCs w:val="23"/>
        </w:rPr>
        <w:t xml:space="preserve">запроса предложений и </w:t>
      </w:r>
      <w:r w:rsidRPr="00E667C3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E667C3">
        <w:rPr>
          <w:sz w:val="23"/>
          <w:szCs w:val="23"/>
        </w:rPr>
        <w:t>с</w:t>
      </w:r>
      <w:proofErr w:type="gramEnd"/>
      <w:r w:rsidRPr="00E667C3">
        <w:rPr>
          <w:sz w:val="23"/>
          <w:szCs w:val="23"/>
        </w:rPr>
        <w:t>:</w:t>
      </w:r>
    </w:p>
    <w:p w:rsidR="00B4055E" w:rsidRPr="00E667C3" w:rsidRDefault="00E02865" w:rsidP="00B4055E">
      <w:pPr>
        <w:pStyle w:val="af2"/>
        <w:ind w:left="0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Лоту 1: «Электроотопительное оборудование»:</w:t>
      </w:r>
    </w:p>
    <w:p w:rsidR="00E02865" w:rsidRPr="00E667C3" w:rsidRDefault="00E02865" w:rsidP="00B4055E">
      <w:pPr>
        <w:pStyle w:val="af2"/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945 661,02 руб. без НДС. </w:t>
      </w:r>
      <w:r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B4055E" w:rsidRPr="00E667C3" w:rsidRDefault="00E02865" w:rsidP="00B4055E">
      <w:pPr>
        <w:pStyle w:val="af2"/>
        <w:tabs>
          <w:tab w:val="num" w:pos="993"/>
        </w:tabs>
        <w:ind w:left="0" w:right="-2" w:firstLine="567"/>
        <w:jc w:val="both"/>
        <w:rPr>
          <w:b/>
          <w:sz w:val="23"/>
          <w:szCs w:val="23"/>
        </w:rPr>
      </w:pPr>
      <w:r w:rsidRPr="00E667C3">
        <w:rPr>
          <w:b/>
          <w:sz w:val="23"/>
          <w:szCs w:val="23"/>
        </w:rPr>
        <w:t>Лоту 2: «Электрические котлы ZOTA»:</w:t>
      </w:r>
    </w:p>
    <w:p w:rsidR="00E02865" w:rsidRPr="00E667C3" w:rsidRDefault="00E02865" w:rsidP="00B4055E">
      <w:pPr>
        <w:pStyle w:val="af2"/>
        <w:tabs>
          <w:tab w:val="num" w:pos="993"/>
        </w:tabs>
        <w:ind w:left="0" w:right="-2" w:firstLine="567"/>
        <w:jc w:val="both"/>
        <w:rPr>
          <w:bCs/>
          <w:sz w:val="23"/>
          <w:szCs w:val="23"/>
        </w:rPr>
      </w:pPr>
      <w:r w:rsidRPr="00E667C3">
        <w:rPr>
          <w:sz w:val="23"/>
          <w:szCs w:val="23"/>
        </w:rPr>
        <w:t xml:space="preserve">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1 133 220,34 руб. без НДС. </w:t>
      </w:r>
      <w:r w:rsidRPr="00E667C3">
        <w:rPr>
          <w:bCs/>
          <w:sz w:val="23"/>
          <w:szCs w:val="23"/>
        </w:rPr>
        <w:t>Срок поставки: 02 мая 2017г. – 29 декабря 2017г. Условия оплаты: в соответствии с графиком оплаты.</w:t>
      </w:r>
    </w:p>
    <w:p w:rsidR="00E64161" w:rsidRPr="00E667C3" w:rsidRDefault="00E64161" w:rsidP="00EC329A">
      <w:pPr>
        <w:pStyle w:val="af2"/>
        <w:numPr>
          <w:ilvl w:val="0"/>
          <w:numId w:val="45"/>
        </w:numPr>
        <w:tabs>
          <w:tab w:val="num" w:pos="993"/>
        </w:tabs>
        <w:ind w:left="0" w:right="-2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 xml:space="preserve">Допускается проведение преддоговорных переговоров с </w:t>
      </w:r>
      <w:r w:rsidR="00691CD2" w:rsidRPr="00E667C3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811EFA" w:rsidRPr="00E667C3">
        <w:rPr>
          <w:sz w:val="23"/>
          <w:szCs w:val="23"/>
        </w:rPr>
        <w:t xml:space="preserve"> с целью уточнения несущественных для Заказчика условий договора, а также улучшения технико-коммерческого предложения Победителя</w:t>
      </w:r>
      <w:r w:rsidR="00E667C3" w:rsidRPr="00E667C3">
        <w:rPr>
          <w:sz w:val="23"/>
          <w:szCs w:val="23"/>
        </w:rPr>
        <w:t>.</w:t>
      </w:r>
    </w:p>
    <w:p w:rsidR="00E02865" w:rsidRPr="00E667C3" w:rsidRDefault="00811EFA" w:rsidP="00EC329A">
      <w:pPr>
        <w:pStyle w:val="af2"/>
        <w:widowControl w:val="0"/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</w:t>
      </w:r>
      <w:r w:rsidR="00E64161" w:rsidRPr="00E667C3">
        <w:rPr>
          <w:sz w:val="23"/>
          <w:szCs w:val="23"/>
        </w:rPr>
        <w:t>.</w:t>
      </w:r>
    </w:p>
    <w:p w:rsidR="00E64161" w:rsidRPr="00E667C3" w:rsidRDefault="00E64161" w:rsidP="00EC329A">
      <w:pPr>
        <w:pStyle w:val="af2"/>
        <w:widowControl w:val="0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lastRenderedPageBreak/>
        <w:t xml:space="preserve">Победителю запроса </w:t>
      </w:r>
      <w:r w:rsidR="00811EFA" w:rsidRPr="00E667C3">
        <w:rPr>
          <w:sz w:val="23"/>
          <w:szCs w:val="23"/>
        </w:rPr>
        <w:t>предложений</w:t>
      </w:r>
      <w:r w:rsidRPr="00E667C3">
        <w:rPr>
          <w:sz w:val="23"/>
          <w:szCs w:val="23"/>
        </w:rPr>
        <w:t xml:space="preserve"> </w:t>
      </w:r>
      <w:proofErr w:type="gramStart"/>
      <w:r w:rsidRPr="00E667C3">
        <w:rPr>
          <w:sz w:val="23"/>
          <w:szCs w:val="23"/>
        </w:rPr>
        <w:t>предоставить справку</w:t>
      </w:r>
      <w:proofErr w:type="gramEnd"/>
      <w:r w:rsidRPr="00E667C3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64161" w:rsidRPr="00E667C3" w:rsidRDefault="00E64161" w:rsidP="00EC329A">
      <w:pPr>
        <w:pStyle w:val="af2"/>
        <w:widowControl w:val="0"/>
        <w:numPr>
          <w:ilvl w:val="0"/>
          <w:numId w:val="45"/>
        </w:numPr>
        <w:tabs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Провести экспертную оценку справки о цепочке собственников, предоставленной Победителем открытого запроса предложений в соответствии с Гарантийным письмом в составе заявки на участие в открытом запросе предложений, в течение 5 (пяти) рабочих дней.</w:t>
      </w:r>
    </w:p>
    <w:p w:rsidR="00CD5BB6" w:rsidRPr="00E667C3" w:rsidRDefault="00CD5BB6" w:rsidP="00CD5BB6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p w:rsidR="003421DA" w:rsidRPr="00E667C3" w:rsidRDefault="003421DA" w:rsidP="003421DA">
      <w:pPr>
        <w:ind w:right="140"/>
        <w:jc w:val="both"/>
        <w:rPr>
          <w:b/>
          <w:caps/>
          <w:sz w:val="23"/>
          <w:szCs w:val="23"/>
        </w:rPr>
      </w:pPr>
      <w:r w:rsidRPr="00E667C3">
        <w:rPr>
          <w:b/>
          <w:sz w:val="23"/>
          <w:szCs w:val="23"/>
        </w:rPr>
        <w:t>РЕЗУЛЬТАТЫ ГОЛОСОВАНИЯ:</w:t>
      </w:r>
    </w:p>
    <w:p w:rsidR="003421DA" w:rsidRPr="00E667C3" w:rsidRDefault="003421DA" w:rsidP="003421DA">
      <w:pPr>
        <w:ind w:right="140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«За»</w:t>
      </w:r>
      <w:r w:rsidRPr="00E667C3">
        <w:rPr>
          <w:sz w:val="23"/>
          <w:szCs w:val="23"/>
          <w:u w:val="single"/>
        </w:rPr>
        <w:t xml:space="preserve">  5   </w:t>
      </w:r>
      <w:r w:rsidRPr="00E667C3">
        <w:rPr>
          <w:sz w:val="23"/>
          <w:szCs w:val="23"/>
        </w:rPr>
        <w:t>членов закупочной комиссии.</w:t>
      </w:r>
    </w:p>
    <w:p w:rsidR="003421DA" w:rsidRPr="00E667C3" w:rsidRDefault="003421DA" w:rsidP="003421DA">
      <w:pPr>
        <w:ind w:right="140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«Против»</w:t>
      </w:r>
      <w:r w:rsidRPr="00E667C3">
        <w:rPr>
          <w:sz w:val="23"/>
          <w:szCs w:val="23"/>
          <w:u w:val="single"/>
        </w:rPr>
        <w:t xml:space="preserve"> 0 </w:t>
      </w:r>
      <w:r w:rsidRPr="00E667C3">
        <w:rPr>
          <w:sz w:val="23"/>
          <w:szCs w:val="23"/>
        </w:rPr>
        <w:t>членов закупочной комиссии.</w:t>
      </w:r>
    </w:p>
    <w:p w:rsidR="003421DA" w:rsidRPr="00E667C3" w:rsidRDefault="003421DA" w:rsidP="003421DA">
      <w:pPr>
        <w:ind w:right="140"/>
        <w:jc w:val="both"/>
        <w:rPr>
          <w:sz w:val="23"/>
          <w:szCs w:val="23"/>
        </w:rPr>
      </w:pPr>
      <w:r w:rsidRPr="00E667C3">
        <w:rPr>
          <w:sz w:val="23"/>
          <w:szCs w:val="23"/>
        </w:rPr>
        <w:t>«Воздержалось»</w:t>
      </w:r>
      <w:r w:rsidRPr="00E667C3">
        <w:rPr>
          <w:sz w:val="23"/>
          <w:szCs w:val="23"/>
          <w:u w:val="single"/>
        </w:rPr>
        <w:t xml:space="preserve"> 0 </w:t>
      </w:r>
      <w:r w:rsidRPr="00E667C3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3421DA" w:rsidRPr="00E667C3" w:rsidSect="00115F6E">
      <w:footerReference w:type="default" r:id="rId12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317017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317017">
      <w:rPr>
        <w:b/>
        <w:sz w:val="20"/>
        <w:szCs w:val="20"/>
      </w:rPr>
      <w:t>Протокол №</w:t>
    </w:r>
    <w:r w:rsidR="00C13700" w:rsidRPr="00C13700">
      <w:rPr>
        <w:b/>
        <w:sz w:val="20"/>
        <w:szCs w:val="20"/>
      </w:rPr>
      <w:t>880.17.00117-118</w:t>
    </w:r>
    <w:r w:rsidRPr="00317017">
      <w:rPr>
        <w:b/>
        <w:sz w:val="20"/>
        <w:szCs w:val="20"/>
      </w:rPr>
      <w:t>/ОЗП-ПВП от «</w:t>
    </w:r>
    <w:r w:rsidR="00721A2D" w:rsidRPr="00721A2D">
      <w:rPr>
        <w:b/>
        <w:sz w:val="20"/>
        <w:szCs w:val="20"/>
      </w:rPr>
      <w:t>17</w:t>
    </w:r>
    <w:r w:rsidRPr="00317017">
      <w:rPr>
        <w:b/>
        <w:sz w:val="20"/>
        <w:szCs w:val="20"/>
      </w:rPr>
      <w:t xml:space="preserve">» </w:t>
    </w:r>
    <w:r w:rsidR="00C13700">
      <w:rPr>
        <w:b/>
        <w:sz w:val="20"/>
        <w:szCs w:val="20"/>
      </w:rPr>
      <w:t>мая</w:t>
    </w:r>
    <w:r w:rsidR="009508F6">
      <w:rPr>
        <w:b/>
        <w:sz w:val="20"/>
        <w:szCs w:val="20"/>
      </w:rPr>
      <w:t xml:space="preserve"> 2017</w:t>
    </w:r>
    <w:r w:rsidRPr="00317017">
      <w:rPr>
        <w:b/>
        <w:sz w:val="20"/>
        <w:szCs w:val="20"/>
      </w:rPr>
      <w:t> г.</w:t>
    </w:r>
  </w:p>
  <w:p w:rsidR="009E3745" w:rsidRPr="00444770" w:rsidRDefault="009E3745" w:rsidP="009E3745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44770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оценке </w:t>
    </w:r>
    <w:r w:rsidR="009508F6">
      <w:rPr>
        <w:rFonts w:ascii="Times New Roman" w:hAnsi="Times New Roman"/>
        <w:b w:val="0"/>
        <w:sz w:val="20"/>
      </w:rPr>
      <w:t>предложений</w:t>
    </w:r>
    <w:r w:rsidRPr="00444770">
      <w:rPr>
        <w:rFonts w:ascii="Times New Roman" w:hAnsi="Times New Roman"/>
        <w:b w:val="0"/>
        <w:sz w:val="20"/>
      </w:rPr>
      <w:t xml:space="preserve"> и выбору Победител</w:t>
    </w:r>
    <w:r w:rsidR="00246DE0">
      <w:rPr>
        <w:rFonts w:ascii="Times New Roman" w:hAnsi="Times New Roman"/>
        <w:b w:val="0"/>
        <w:sz w:val="20"/>
      </w:rPr>
      <w:t>я открытого запроса предложений</w:t>
    </w:r>
  </w:p>
  <w:p w:rsidR="00344FD7" w:rsidRPr="00444770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444770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A661F">
      <w:rPr>
        <w:noProof/>
        <w:sz w:val="20"/>
      </w:rPr>
      <w:t>4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CDA83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960BBE"/>
    <w:multiLevelType w:val="multilevel"/>
    <w:tmpl w:val="1B00361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E5836"/>
    <w:multiLevelType w:val="hybridMultilevel"/>
    <w:tmpl w:val="8AC898A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3E774D"/>
    <w:multiLevelType w:val="hybridMultilevel"/>
    <w:tmpl w:val="52E6CFE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4B297B"/>
    <w:multiLevelType w:val="hybridMultilevel"/>
    <w:tmpl w:val="0BF883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9964175"/>
    <w:multiLevelType w:val="hybridMultilevel"/>
    <w:tmpl w:val="BEB84A92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B658C9"/>
    <w:multiLevelType w:val="hybridMultilevel"/>
    <w:tmpl w:val="754436B2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38"/>
  </w:num>
  <w:num w:numId="9">
    <w:abstractNumId w:val="3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</w:num>
  <w:num w:numId="17">
    <w:abstractNumId w:val="37"/>
  </w:num>
  <w:num w:numId="18">
    <w:abstractNumId w:val="19"/>
  </w:num>
  <w:num w:numId="19">
    <w:abstractNumId w:val="33"/>
  </w:num>
  <w:num w:numId="20">
    <w:abstractNumId w:val="13"/>
  </w:num>
  <w:num w:numId="21">
    <w:abstractNumId w:val="27"/>
  </w:num>
  <w:num w:numId="22">
    <w:abstractNumId w:val="35"/>
  </w:num>
  <w:num w:numId="23">
    <w:abstractNumId w:val="26"/>
  </w:num>
  <w:num w:numId="24">
    <w:abstractNumId w:val="12"/>
  </w:num>
  <w:num w:numId="25">
    <w:abstractNumId w:val="36"/>
  </w:num>
  <w:num w:numId="26">
    <w:abstractNumId w:val="39"/>
  </w:num>
  <w:num w:numId="27">
    <w:abstractNumId w:val="20"/>
  </w:num>
  <w:num w:numId="28">
    <w:abstractNumId w:val="23"/>
  </w:num>
  <w:num w:numId="29">
    <w:abstractNumId w:val="3"/>
  </w:num>
  <w:num w:numId="30">
    <w:abstractNumId w:val="4"/>
  </w:num>
  <w:num w:numId="31">
    <w:abstractNumId w:val="8"/>
  </w:num>
  <w:num w:numId="32">
    <w:abstractNumId w:val="34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4"/>
  </w:num>
  <w:num w:numId="39">
    <w:abstractNumId w:val="1"/>
    <w:lvlOverride w:ilvl="0">
      <w:startOverride w:val="1"/>
    </w:lvlOverride>
  </w:num>
  <w:num w:numId="40">
    <w:abstractNumId w:val="40"/>
  </w:num>
  <w:num w:numId="41">
    <w:abstractNumId w:val="16"/>
  </w:num>
  <w:num w:numId="42">
    <w:abstractNumId w:val="7"/>
  </w:num>
  <w:num w:numId="43">
    <w:abstractNumId w:val="14"/>
  </w:num>
  <w:num w:numId="44">
    <w:abstractNumId w:val="0"/>
  </w:num>
  <w:num w:numId="45">
    <w:abstractNumId w:val="11"/>
  </w:num>
  <w:num w:numId="46">
    <w:abstractNumId w:val="5"/>
  </w:num>
  <w:num w:numId="47">
    <w:abstractNumId w:val="10"/>
  </w:num>
  <w:num w:numId="48">
    <w:abstractNumId w:val="2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08A"/>
    <w:rsid w:val="0004173E"/>
    <w:rsid w:val="00041D2F"/>
    <w:rsid w:val="00042EC4"/>
    <w:rsid w:val="00042F62"/>
    <w:rsid w:val="000467CA"/>
    <w:rsid w:val="000509B4"/>
    <w:rsid w:val="00052175"/>
    <w:rsid w:val="0005435E"/>
    <w:rsid w:val="000615F6"/>
    <w:rsid w:val="000630F4"/>
    <w:rsid w:val="00063A4A"/>
    <w:rsid w:val="000801F6"/>
    <w:rsid w:val="000818C2"/>
    <w:rsid w:val="00082024"/>
    <w:rsid w:val="00082627"/>
    <w:rsid w:val="000841F4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009A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3181"/>
    <w:rsid w:val="000D385C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052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3512"/>
    <w:rsid w:val="001A4751"/>
    <w:rsid w:val="001A4EA3"/>
    <w:rsid w:val="001A55DA"/>
    <w:rsid w:val="001B50AA"/>
    <w:rsid w:val="001B6F84"/>
    <w:rsid w:val="001C2320"/>
    <w:rsid w:val="001C3076"/>
    <w:rsid w:val="001C5D96"/>
    <w:rsid w:val="001C6F86"/>
    <w:rsid w:val="001C779A"/>
    <w:rsid w:val="001D256B"/>
    <w:rsid w:val="001D2F77"/>
    <w:rsid w:val="001D60E2"/>
    <w:rsid w:val="001D6C01"/>
    <w:rsid w:val="001E06CB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E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63B"/>
    <w:rsid w:val="00271799"/>
    <w:rsid w:val="00273AB6"/>
    <w:rsid w:val="00274C57"/>
    <w:rsid w:val="00275029"/>
    <w:rsid w:val="002772EB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1DA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D5B0E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2EE2"/>
    <w:rsid w:val="00475F2D"/>
    <w:rsid w:val="00477257"/>
    <w:rsid w:val="00481320"/>
    <w:rsid w:val="00481E4E"/>
    <w:rsid w:val="004828B4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192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A661F"/>
    <w:rsid w:val="005A6DE2"/>
    <w:rsid w:val="005B02A3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5B6A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5284"/>
    <w:rsid w:val="005F684F"/>
    <w:rsid w:val="00600752"/>
    <w:rsid w:val="00607DB7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47739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76D50"/>
    <w:rsid w:val="00682281"/>
    <w:rsid w:val="006828B8"/>
    <w:rsid w:val="00683569"/>
    <w:rsid w:val="00683E60"/>
    <w:rsid w:val="00684DA2"/>
    <w:rsid w:val="006908DA"/>
    <w:rsid w:val="00691CD2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1A2D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4F40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D652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1EF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3EB6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42BF"/>
    <w:rsid w:val="00937462"/>
    <w:rsid w:val="0094262B"/>
    <w:rsid w:val="009442D0"/>
    <w:rsid w:val="0094799A"/>
    <w:rsid w:val="009508F6"/>
    <w:rsid w:val="009533EE"/>
    <w:rsid w:val="00953FC6"/>
    <w:rsid w:val="009541DB"/>
    <w:rsid w:val="00955F88"/>
    <w:rsid w:val="00961654"/>
    <w:rsid w:val="00962295"/>
    <w:rsid w:val="00963A3F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472"/>
    <w:rsid w:val="00A23DB7"/>
    <w:rsid w:val="00A23DF7"/>
    <w:rsid w:val="00A24B1B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7FCF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328E4"/>
    <w:rsid w:val="00B4055E"/>
    <w:rsid w:val="00B40A4C"/>
    <w:rsid w:val="00B453C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8F9"/>
    <w:rsid w:val="00B67D2D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96D99"/>
    <w:rsid w:val="00BA0AF3"/>
    <w:rsid w:val="00BA1C66"/>
    <w:rsid w:val="00BA3D91"/>
    <w:rsid w:val="00BA6435"/>
    <w:rsid w:val="00BB020D"/>
    <w:rsid w:val="00BB469A"/>
    <w:rsid w:val="00BB5127"/>
    <w:rsid w:val="00BB705B"/>
    <w:rsid w:val="00BC0F13"/>
    <w:rsid w:val="00BC1F36"/>
    <w:rsid w:val="00BC3CC6"/>
    <w:rsid w:val="00BC7C34"/>
    <w:rsid w:val="00BD3CC1"/>
    <w:rsid w:val="00BE01D1"/>
    <w:rsid w:val="00BE3AB8"/>
    <w:rsid w:val="00BE47D0"/>
    <w:rsid w:val="00BE5570"/>
    <w:rsid w:val="00BE6850"/>
    <w:rsid w:val="00BE779D"/>
    <w:rsid w:val="00BF01B4"/>
    <w:rsid w:val="00BF2611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3700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2F0B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6044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710"/>
    <w:rsid w:val="00C90D3A"/>
    <w:rsid w:val="00C94BCC"/>
    <w:rsid w:val="00C97DA6"/>
    <w:rsid w:val="00CA1B07"/>
    <w:rsid w:val="00CA22EB"/>
    <w:rsid w:val="00CA26BF"/>
    <w:rsid w:val="00CA45D5"/>
    <w:rsid w:val="00CA64EE"/>
    <w:rsid w:val="00CA658E"/>
    <w:rsid w:val="00CA7B1F"/>
    <w:rsid w:val="00CB3D04"/>
    <w:rsid w:val="00CB5A3A"/>
    <w:rsid w:val="00CB5AA4"/>
    <w:rsid w:val="00CC0030"/>
    <w:rsid w:val="00CC10D5"/>
    <w:rsid w:val="00CC1C2E"/>
    <w:rsid w:val="00CC497D"/>
    <w:rsid w:val="00CC5D64"/>
    <w:rsid w:val="00CC6A79"/>
    <w:rsid w:val="00CC74B7"/>
    <w:rsid w:val="00CD0091"/>
    <w:rsid w:val="00CD2D4F"/>
    <w:rsid w:val="00CD5BB6"/>
    <w:rsid w:val="00CE0F87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39A1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2011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2865"/>
    <w:rsid w:val="00E03780"/>
    <w:rsid w:val="00E03E2F"/>
    <w:rsid w:val="00E07F4E"/>
    <w:rsid w:val="00E10327"/>
    <w:rsid w:val="00E1145B"/>
    <w:rsid w:val="00E132CB"/>
    <w:rsid w:val="00E1401D"/>
    <w:rsid w:val="00E1411C"/>
    <w:rsid w:val="00E144B5"/>
    <w:rsid w:val="00E149D7"/>
    <w:rsid w:val="00E14E25"/>
    <w:rsid w:val="00E15DC2"/>
    <w:rsid w:val="00E16408"/>
    <w:rsid w:val="00E16DB3"/>
    <w:rsid w:val="00E221F1"/>
    <w:rsid w:val="00E23AE5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161"/>
    <w:rsid w:val="00E64A9A"/>
    <w:rsid w:val="00E667C3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C329A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6A80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58B4"/>
    <w:rsid w:val="00F57193"/>
    <w:rsid w:val="00F572E4"/>
    <w:rsid w:val="00F62BAA"/>
    <w:rsid w:val="00F63AFD"/>
    <w:rsid w:val="00F6534F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4E7F"/>
    <w:rsid w:val="00FB5B0A"/>
    <w:rsid w:val="00FD180F"/>
    <w:rsid w:val="00FD25D3"/>
    <w:rsid w:val="00FD6688"/>
    <w:rsid w:val="00FD6BE1"/>
    <w:rsid w:val="00FF0372"/>
    <w:rsid w:val="00FF0733"/>
    <w:rsid w:val="00FF0D3D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2">
    <w:name w:val="heading 2"/>
    <w:basedOn w:val="a0"/>
    <w:next w:val="a0"/>
    <w:link w:val="23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4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5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1">
    <w:name w:val="Документация 2"/>
    <w:basedOn w:val="22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3">
    <w:name w:val="Заголовок 2 Знак"/>
    <w:link w:val="22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0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">
    <w:name w:val="List Bullet 2"/>
    <w:basedOn w:val="a0"/>
    <w:uiPriority w:val="99"/>
    <w:rsid w:val="00E23AE5"/>
    <w:pPr>
      <w:numPr>
        <w:numId w:val="44"/>
      </w:numPr>
      <w:spacing w:line="360" w:lineRule="auto"/>
      <w:contextualSpacing/>
      <w:jc w:val="both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2">
    <w:name w:val="heading 2"/>
    <w:basedOn w:val="a0"/>
    <w:next w:val="a0"/>
    <w:link w:val="23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4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5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1">
    <w:name w:val="Документация 2"/>
    <w:basedOn w:val="22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3">
    <w:name w:val="Заголовок 2 Знак"/>
    <w:link w:val="22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0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">
    <w:name w:val="List Bullet 2"/>
    <w:basedOn w:val="a0"/>
    <w:uiPriority w:val="99"/>
    <w:rsid w:val="00E23AE5"/>
    <w:pPr>
      <w:numPr>
        <w:numId w:val="44"/>
      </w:numPr>
      <w:spacing w:line="360" w:lineRule="auto"/>
      <w:contextualSpacing/>
      <w:jc w:val="both"/>
    </w:pPr>
    <w:rPr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sp.nalog.ru/search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25F9-C1F6-4DBA-B75E-2B763E88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1170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248</cp:revision>
  <cp:lastPrinted>2016-08-09T01:56:00Z</cp:lastPrinted>
  <dcterms:created xsi:type="dcterms:W3CDTF">2014-12-01T08:11:00Z</dcterms:created>
  <dcterms:modified xsi:type="dcterms:W3CDTF">2017-05-18T02:48:00Z</dcterms:modified>
</cp:coreProperties>
</file>